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E89" w:rsidRDefault="00420A23">
      <w:pPr>
        <w:spacing w:after="285" w:line="250" w:lineRule="auto"/>
        <w:ind w:left="-5" w:right="0" w:hanging="10"/>
      </w:pPr>
      <w:bookmarkStart w:id="0" w:name="_GoBack"/>
      <w:bookmarkEnd w:id="0"/>
      <w:r>
        <w:rPr>
          <w:b/>
        </w:rPr>
        <w:t xml:space="preserve">HONORABLE CONGRESO DEL ESTADO DE YUCATAN </w:t>
      </w:r>
    </w:p>
    <w:p w:rsidR="00F04E89" w:rsidRDefault="00420A23">
      <w:pPr>
        <w:spacing w:after="288" w:line="250" w:lineRule="auto"/>
        <w:ind w:left="-5" w:right="0" w:hanging="10"/>
      </w:pPr>
      <w:r>
        <w:rPr>
          <w:b/>
        </w:rPr>
        <w:t xml:space="preserve">P R E S E N T E </w:t>
      </w:r>
    </w:p>
    <w:p w:rsidR="00F04E89" w:rsidRDefault="00420A23">
      <w:pPr>
        <w:spacing w:after="276" w:line="259" w:lineRule="auto"/>
        <w:ind w:left="994" w:right="0" w:firstLine="0"/>
        <w:jc w:val="left"/>
      </w:pPr>
      <w:r>
        <w:t xml:space="preserve"> </w:t>
      </w:r>
    </w:p>
    <w:p w:rsidR="00F04E89" w:rsidRDefault="00420A23">
      <w:pPr>
        <w:ind w:right="0"/>
      </w:pPr>
      <w:r>
        <w:t>Los suscritos Diputado Gaspar Armando Quintal Parra y Diputada Karla Reyna Franco Blanco, integrantes de la Fracción Legislativa del Partido Revolucionario Institucional de la LXIII Legislatura del H. Congreso del Estado, con fundamento en los artículos 35</w:t>
      </w:r>
      <w:r>
        <w:t xml:space="preserve"> fracción I de la Constitución Política; 16 y 22 fracción VI de la Ley de Gobierno del Poder Legislativo, ambos del Estado de Yucatán; sometemos a consideración de esta Honorable Asamblea, la </w:t>
      </w:r>
      <w:r>
        <w:rPr>
          <w:b/>
        </w:rPr>
        <w:t xml:space="preserve">INICIATIVA CON PROYECTO DE DECRETO QUE REFORMA LA LEY DE ACCESO </w:t>
      </w:r>
      <w:r>
        <w:rPr>
          <w:b/>
        </w:rPr>
        <w:t>DE LAS MUJERES A UNA VIDA LIBRE DE VIOLENCIA DEL ESTADO DE YUCATÁN, EN MATERIA DE VIOLENCIA CONTRA LA SALUD</w:t>
      </w:r>
      <w:r>
        <w:t xml:space="preserve">; en virtud de la siguiente: </w:t>
      </w:r>
    </w:p>
    <w:p w:rsidR="00F04E89" w:rsidRDefault="00420A23">
      <w:pPr>
        <w:spacing w:after="268" w:line="267" w:lineRule="auto"/>
        <w:ind w:left="15" w:right="11" w:hanging="10"/>
        <w:jc w:val="center"/>
      </w:pPr>
      <w:r>
        <w:rPr>
          <w:b/>
        </w:rPr>
        <w:t xml:space="preserve">EXPOSICIÓN DE MOTIVOS </w:t>
      </w:r>
    </w:p>
    <w:p w:rsidR="00F04E89" w:rsidRDefault="00420A23">
      <w:pPr>
        <w:ind w:left="-15" w:right="0"/>
      </w:pPr>
      <w:r>
        <w:t>La violencia contra las mujeres hoy en día constituye una de las formas más degradantes de viola</w:t>
      </w:r>
      <w:r>
        <w:t xml:space="preserve">ción a los Derechos Humanos, tal como refiere la Convención Interamericana para Prevenir, Sancionar y Erradicar la Violencia contra la Mujer, misma que puntualiza en su artículo primero, como: </w:t>
      </w:r>
      <w:r>
        <w:rPr>
          <w:i/>
        </w:rPr>
        <w:t>“… cualquier acción o conducta basada en su género, que cause m</w:t>
      </w:r>
      <w:r>
        <w:rPr>
          <w:i/>
        </w:rPr>
        <w:t xml:space="preserve">uerte, </w:t>
      </w:r>
      <w:r>
        <w:rPr>
          <w:b/>
          <w:i/>
        </w:rPr>
        <w:t>daño o sufrimiento físico</w:t>
      </w:r>
      <w:r>
        <w:rPr>
          <w:i/>
        </w:rPr>
        <w:t xml:space="preserve">, sexual o </w:t>
      </w:r>
      <w:r>
        <w:rPr>
          <w:b/>
          <w:i/>
        </w:rPr>
        <w:t>psicológico a la mujer, tanto en el ámbito público como en el privado</w:t>
      </w:r>
      <w:r>
        <w:rPr>
          <w:i/>
        </w:rPr>
        <w:t xml:space="preserve">”. (énfasis añadido)  </w:t>
      </w:r>
    </w:p>
    <w:p w:rsidR="00F04E89" w:rsidRDefault="00420A23">
      <w:pPr>
        <w:ind w:left="-15" w:right="0"/>
      </w:pPr>
      <w:r>
        <w:t xml:space="preserve">En esta tesitura, las desigualdades que aún se viven en la procuración de los derechos a las mujeres, específicamente en </w:t>
      </w:r>
      <w:r>
        <w:t xml:space="preserve">el acceso a la salud, nos permiten vislumbrar que, a pesar de los avances en las políticas públicas, los servicios integrales no están cubiertos en su totalidad; y más si hablamos de la atención </w:t>
      </w:r>
      <w:r>
        <w:lastRenderedPageBreak/>
        <w:t xml:space="preserve">médica de la mujer; pues podemos percatarnos que aún existen </w:t>
      </w:r>
      <w:r>
        <w:t xml:space="preserve">desigualdades que afectan la integridad física, sexual y mental de las mujeres.  </w:t>
      </w:r>
    </w:p>
    <w:p w:rsidR="00F04E89" w:rsidRDefault="00420A23">
      <w:pPr>
        <w:ind w:left="-15" w:right="0"/>
      </w:pPr>
      <w:r>
        <w:t>Poner un alto a la violencia que sufrimos las mujeres es uno de los retos más importantes que enfrentamos hoy en día en nuestro país. Por ello, en nuestra entidad, de conform</w:t>
      </w:r>
      <w:r>
        <w:t>idad con, la Ley de Acceso de las Mujeres a una Vida Libre de Violencia del Estado de Yucatán, la violencia contra las mujeres se define como la acción u omisión por motivo de género, que tenga como resultado violencia económica, física, psicológica, sexua</w:t>
      </w:r>
      <w:r>
        <w:t xml:space="preserve">l, estética, obstétrica o cause la muerte de la mujer; tanto en el ámbito privado como público. </w:t>
      </w:r>
    </w:p>
    <w:p w:rsidR="00F04E89" w:rsidRDefault="00420A23">
      <w:pPr>
        <w:ind w:left="-15" w:right="0"/>
      </w:pPr>
      <w:r>
        <w:t xml:space="preserve">Partiendo de esta idea, debemos establecer, que el derecho a la salud tiene como elementos esenciales la disponibilidad, </w:t>
      </w:r>
      <w:r>
        <w:rPr>
          <w:b/>
        </w:rPr>
        <w:t>accesibilidad</w:t>
      </w:r>
      <w:r>
        <w:t>, aceptabilidad y calidad</w:t>
      </w:r>
      <w:r>
        <w:t xml:space="preserve">.  </w:t>
      </w:r>
    </w:p>
    <w:p w:rsidR="00F04E89" w:rsidRDefault="00420A23">
      <w:pPr>
        <w:ind w:left="-15" w:right="0"/>
      </w:pPr>
      <w:r>
        <w:t xml:space="preserve">Así, se debe de considerar que en el llamado “Estado Social” cualquier persona debe tener acceso a disfrutar de la totalidad de la expresión del desarrollo individual y colectivo, así como asegurar la mayor calidad de vida en sus integrantes, a través </w:t>
      </w:r>
      <w:r>
        <w:t xml:space="preserve">de la acción directa de las instituciones, con el fin de disfrutar de los derechos humanos en su plenitud.  </w:t>
      </w:r>
    </w:p>
    <w:p w:rsidR="00F04E89" w:rsidRDefault="00420A23">
      <w:pPr>
        <w:ind w:left="-15" w:right="0"/>
      </w:pPr>
      <w:r>
        <w:t>Por ello, si el acceso a un servicio social como lo es la salud, falla, todo el entramado de derechos sociales queda vulnerado, ya que se parte del</w:t>
      </w:r>
      <w:r>
        <w:t xml:space="preserve"> principio de igualdad de condiciones de las y los miembros de un estado.  </w:t>
      </w:r>
    </w:p>
    <w:p w:rsidR="00F04E89" w:rsidRDefault="00420A23">
      <w:pPr>
        <w:ind w:left="-15" w:right="0"/>
      </w:pPr>
      <w:r>
        <w:t xml:space="preserve">Con base en lo anterior, resulta fundamental legislar en materia de protección de los derechos de las mujeres, armonizando y actualizando las leyes que garanticen el ejercicio del </w:t>
      </w:r>
      <w:r>
        <w:t xml:space="preserve">derecho a una vida libre de violencia para las mujeres en nuestro estado. </w:t>
      </w:r>
    </w:p>
    <w:p w:rsidR="00F04E89" w:rsidRDefault="00420A23">
      <w:pPr>
        <w:ind w:left="-15" w:right="0"/>
      </w:pPr>
      <w:r>
        <w:lastRenderedPageBreak/>
        <w:t xml:space="preserve">Esta condición bidimensional del derecho a la protección de la salud, ha sido estudiada por la Primera Sala de la Suprema Corte de Justicia de la Nación, sirve de apoyo el criterio </w:t>
      </w:r>
      <w:r>
        <w:t xml:space="preserve">siguiente:  </w:t>
      </w:r>
    </w:p>
    <w:p w:rsidR="00F04E89" w:rsidRDefault="00420A23">
      <w:pPr>
        <w:spacing w:after="4" w:line="250" w:lineRule="auto"/>
        <w:ind w:left="720" w:right="2949" w:hanging="720"/>
      </w:pPr>
      <w:r>
        <w:rPr>
          <w:sz w:val="22"/>
        </w:rPr>
        <w:t xml:space="preserve">  </w:t>
      </w:r>
      <w:r>
        <w:rPr>
          <w:i/>
          <w:sz w:val="22"/>
        </w:rPr>
        <w:t xml:space="preserve">“Época: Décima Época Registro: 2013137  Instancia: Primera Sala  </w:t>
      </w:r>
    </w:p>
    <w:p w:rsidR="00F04E89" w:rsidRDefault="00420A23">
      <w:pPr>
        <w:spacing w:after="4" w:line="250" w:lineRule="auto"/>
        <w:ind w:left="705" w:right="0" w:firstLine="2"/>
      </w:pPr>
      <w:r>
        <w:rPr>
          <w:i/>
          <w:sz w:val="22"/>
        </w:rPr>
        <w:t xml:space="preserve">Tipo de Tesis: Aislada  </w:t>
      </w:r>
    </w:p>
    <w:p w:rsidR="00F04E89" w:rsidRDefault="00420A23">
      <w:pPr>
        <w:spacing w:after="4" w:line="250" w:lineRule="auto"/>
        <w:ind w:left="705" w:right="0" w:firstLine="2"/>
      </w:pPr>
      <w:r>
        <w:rPr>
          <w:i/>
          <w:sz w:val="22"/>
        </w:rPr>
        <w:t xml:space="preserve">Tesis: 1a. CCLXVII/2016 (10a.)  </w:t>
      </w:r>
    </w:p>
    <w:p w:rsidR="00F04E89" w:rsidRDefault="00420A23">
      <w:pPr>
        <w:spacing w:after="16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F04E89" w:rsidRDefault="00420A23">
      <w:pPr>
        <w:spacing w:after="161" w:line="259" w:lineRule="auto"/>
        <w:ind w:left="708" w:right="0" w:firstLine="12"/>
        <w:jc w:val="left"/>
      </w:pPr>
      <w:r>
        <w:rPr>
          <w:b/>
          <w:i/>
          <w:sz w:val="22"/>
        </w:rPr>
        <w:t xml:space="preserve">DERECHO A LA PROTECCIÓN DE LA SALUD. DIMENSIONES INDIVIDUAL Y SOCIAL.  </w:t>
      </w:r>
    </w:p>
    <w:p w:rsidR="00F04E89" w:rsidRDefault="00420A23">
      <w:pPr>
        <w:spacing w:after="168" w:line="250" w:lineRule="auto"/>
        <w:ind w:left="705" w:right="0" w:firstLine="2"/>
      </w:pPr>
      <w:r>
        <w:rPr>
          <w:i/>
          <w:sz w:val="22"/>
        </w:rPr>
        <w:t xml:space="preserve">La protección de la salud es un objetivo que legítimamente puede perseguir el Estado, toda </w:t>
      </w:r>
      <w:r>
        <w:rPr>
          <w:b/>
          <w:i/>
          <w:sz w:val="22"/>
        </w:rPr>
        <w:t>vez que se trata de un derecho fundamental</w:t>
      </w:r>
      <w:r>
        <w:rPr>
          <w:i/>
          <w:sz w:val="22"/>
        </w:rPr>
        <w:t xml:space="preserve"> reconocido en el artículo 4o. constitucional, en el cual se establece expresamente que </w:t>
      </w:r>
      <w:r>
        <w:rPr>
          <w:b/>
          <w:i/>
          <w:sz w:val="22"/>
        </w:rPr>
        <w:t>toda persona tiene derecho a la pro</w:t>
      </w:r>
      <w:r>
        <w:rPr>
          <w:b/>
          <w:i/>
          <w:sz w:val="22"/>
        </w:rPr>
        <w:t>tección de la salud.</w:t>
      </w:r>
      <w:r>
        <w:rPr>
          <w:i/>
          <w:sz w:val="22"/>
        </w:rPr>
        <w:t xml:space="preserve"> Al respecto, no hay que perder de vista que este derecho tiene una proyección tanto individual o personal, como una pública o social. Respecto a la protección a la salud de las personas en lo individual, el derecho a la salud se traduc</w:t>
      </w:r>
      <w:r>
        <w:rPr>
          <w:i/>
          <w:sz w:val="22"/>
        </w:rPr>
        <w:t>e en la obtención de un determinado bienestar general integrado por el estado físico, mental, emocional y social de la persona, del que deriva otro derecho fundamental, consistente en el derecho a la integridad físicopsicológica. De ahí que resulta evident</w:t>
      </w:r>
      <w:r>
        <w:rPr>
          <w:i/>
          <w:sz w:val="22"/>
        </w:rPr>
        <w:t xml:space="preserve">e que </w:t>
      </w:r>
      <w:r>
        <w:rPr>
          <w:b/>
          <w:i/>
          <w:sz w:val="22"/>
        </w:rPr>
        <w:t>el Estado tiene un interés constitucional en procurarles a las personas en lo individual</w:t>
      </w:r>
      <w:r>
        <w:rPr>
          <w:i/>
          <w:sz w:val="22"/>
        </w:rPr>
        <w:t xml:space="preserve"> un adecuado estado de salud y bienestar. Por otro lado, la faceta social o pública del derecho a la salud consiste en el deber del Estado de atender los problema</w:t>
      </w:r>
      <w:r>
        <w:rPr>
          <w:i/>
          <w:sz w:val="22"/>
        </w:rPr>
        <w:t xml:space="preserve">s de salud que afectan a la sociedad en general, </w:t>
      </w:r>
      <w:r>
        <w:rPr>
          <w:b/>
          <w:i/>
          <w:sz w:val="22"/>
        </w:rPr>
        <w:t xml:space="preserve">así como en establecer los mecanismos necesarios para que todas las personas tengan acceso a los servicios de salud. </w:t>
      </w:r>
      <w:r>
        <w:rPr>
          <w:i/>
          <w:sz w:val="22"/>
        </w:rPr>
        <w:t>Lo anterior comprende el deber de emprender las acciones necesarias para alcanzar ese fin,</w:t>
      </w:r>
      <w:r>
        <w:rPr>
          <w:i/>
          <w:sz w:val="22"/>
        </w:rPr>
        <w:t xml:space="preserve"> tales como el desarrollo de políticas públicas, </w:t>
      </w:r>
      <w:r>
        <w:rPr>
          <w:b/>
          <w:i/>
          <w:sz w:val="22"/>
        </w:rPr>
        <w:t>controles de calidad de los servicios de salud</w:t>
      </w:r>
      <w:r>
        <w:rPr>
          <w:i/>
          <w:sz w:val="22"/>
        </w:rPr>
        <w:t xml:space="preserve">, identificación de los principales problemas que afecten la salud pública del conglomerado social, entre otras.” </w:t>
      </w:r>
    </w:p>
    <w:p w:rsidR="00F04E89" w:rsidRDefault="00420A23">
      <w:pPr>
        <w:spacing w:after="211" w:line="259" w:lineRule="auto"/>
        <w:ind w:left="717" w:right="0" w:firstLine="0"/>
        <w:jc w:val="center"/>
      </w:pPr>
      <w:r>
        <w:rPr>
          <w:b/>
          <w:i/>
          <w:sz w:val="22"/>
        </w:rPr>
        <w:t xml:space="preserve">(Énfasis añadido) </w:t>
      </w:r>
    </w:p>
    <w:p w:rsidR="00F04E89" w:rsidRDefault="00420A23">
      <w:pPr>
        <w:spacing w:after="261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F04E89" w:rsidRDefault="00420A23">
      <w:pPr>
        <w:ind w:left="-15" w:right="0"/>
      </w:pPr>
      <w:r>
        <w:t>De acuerdo con lo anterio</w:t>
      </w:r>
      <w:r>
        <w:t>rmente plasmado, debemos precisar que la manifestación expresa a la salud de las mujeres en la Ley de Acceso de las Mujeres a una Vida Libre de Violencia del Estado de Yucatán es de vital importancia para la sociedad yucateca, en virtud de proteger cualqui</w:t>
      </w:r>
      <w:r>
        <w:t xml:space="preserve">er frente que pudiese permear en la defensa de la protección de una vida libre de violencia.  </w:t>
      </w:r>
    </w:p>
    <w:p w:rsidR="00F04E89" w:rsidRDefault="00420A23">
      <w:pPr>
        <w:ind w:left="-15" w:right="0"/>
      </w:pPr>
      <w:r>
        <w:lastRenderedPageBreak/>
        <w:t xml:space="preserve">Por ello, a través de este producto legislativo, se busca ampliar las concepciones y modalidades de violencia que reconoce la Ley de Acceso de las Mujeres a una </w:t>
      </w:r>
      <w:r>
        <w:t xml:space="preserve">Vida Libre de Violencia del Estado de Yucatán con el fin de proteger su integridad a una manera amplia referente a la violencia ejercida contra las mujeres en materia de salud.  </w:t>
      </w:r>
    </w:p>
    <w:p w:rsidR="00F04E89" w:rsidRDefault="00420A23">
      <w:pPr>
        <w:spacing w:after="187"/>
        <w:ind w:left="-15" w:right="0"/>
      </w:pPr>
      <w:r>
        <w:t xml:space="preserve">Es cierto, que actualmente nuestra normativa local, tiene contemplada la </w:t>
      </w:r>
      <w:r>
        <w:rPr>
          <w:b/>
          <w:i/>
        </w:rPr>
        <w:t>viol</w:t>
      </w:r>
      <w:r>
        <w:rPr>
          <w:b/>
          <w:i/>
        </w:rPr>
        <w:t>encia obstétrica</w:t>
      </w:r>
      <w:r>
        <w:t xml:space="preserve"> como un tipo de violencia contra las mujeres. En este sentido, se precisa que la violencia obstétrica es la acción u omisión por parte del personal de salud que cause daño físico o psicológico a la mujer </w:t>
      </w:r>
      <w:r>
        <w:rPr>
          <w:b/>
        </w:rPr>
        <w:t>durante el embarazo</w:t>
      </w:r>
      <w:r>
        <w:t xml:space="preserve">, parto o la </w:t>
      </w:r>
      <w:r>
        <w:rPr>
          <w:b/>
        </w:rPr>
        <w:t>etapa del puerperio o posparto</w:t>
      </w:r>
      <w:r>
        <w:t>, ocasionada, entre otros, por la falta de acceso a servicios de salud reproductiva, tratos crueles, inhumanos o degradantes.</w:t>
      </w:r>
      <w:r>
        <w:rPr>
          <w:vertAlign w:val="superscript"/>
        </w:rPr>
        <w:footnoteReference w:id="1"/>
      </w:r>
      <w:r>
        <w:t xml:space="preserve"> </w:t>
      </w:r>
    </w:p>
    <w:p w:rsidR="00F04E89" w:rsidRDefault="00420A23">
      <w:pPr>
        <w:ind w:left="-15" w:right="0"/>
      </w:pPr>
      <w:r>
        <w:t>De igual forma se reconoce la violencia estética como cualquier acción u omisión que ejerce una pe</w:t>
      </w:r>
      <w:r>
        <w:t xml:space="preserve">rsona sobre otra, sin su consentimiento o bajo amenazas, para realizar </w:t>
      </w:r>
      <w:r>
        <w:rPr>
          <w:b/>
        </w:rPr>
        <w:t>un cambio físico</w:t>
      </w:r>
      <w:r>
        <w:t xml:space="preserve"> con el objeto de cumplir con modelos, estereotipos y patrones de belleza, que pueden tener como resultado un daño permanente, psicológico, físico o la muerte. </w:t>
      </w:r>
    </w:p>
    <w:p w:rsidR="00F04E89" w:rsidRDefault="00420A23">
      <w:pPr>
        <w:ind w:left="-15" w:right="0"/>
      </w:pPr>
      <w:r>
        <w:t>Sin perj</w:t>
      </w:r>
      <w:r>
        <w:t>uicio de los anteriores tipos y modalidades de violencia plasmados en la ley, podemos notar que expresamente la violencia obstétrica protege a la mujer durante un proceso neonatal o gestante, antes y durante, sin embargo, al momento de concluir dicho proce</w:t>
      </w:r>
      <w:r>
        <w:t xml:space="preserve">so, no existe ni se contempla, un tipo de violencia especifico, situación que pudiese interpretarse en ambigüedades normativas.  </w:t>
      </w:r>
    </w:p>
    <w:p w:rsidR="00F04E89" w:rsidRDefault="00420A23">
      <w:pPr>
        <w:ind w:left="-15" w:right="0"/>
      </w:pPr>
      <w:r>
        <w:t xml:space="preserve">La negación de la </w:t>
      </w:r>
      <w:r>
        <w:rPr>
          <w:b/>
        </w:rPr>
        <w:t>autonomía corporal es una violación de los derechos humanos fundamentales de las mujeres y las niñas</w:t>
      </w:r>
      <w:r>
        <w:t xml:space="preserve"> </w:t>
      </w:r>
      <w:r>
        <w:t xml:space="preserve">que refuerza las inequidades y perpetúa la violencia derivada de la discriminación por razón de género. </w:t>
      </w:r>
    </w:p>
    <w:p w:rsidR="00F04E89" w:rsidRDefault="00420A23">
      <w:pPr>
        <w:ind w:left="-15" w:right="0"/>
      </w:pPr>
      <w:r>
        <w:lastRenderedPageBreak/>
        <w:t>Al contrario, si una mujer tiene el control de su cuerpo, aumentan sus probabilidades de empoderamiento en otros ámbitos de su vida. Una mujer con esca</w:t>
      </w:r>
      <w:r>
        <w:t xml:space="preserve">sa autonomía corporal tiene menos probabilidades de controlar su vida doméstica, </w:t>
      </w:r>
      <w:r>
        <w:rPr>
          <w:b/>
        </w:rPr>
        <w:t>su salud</w:t>
      </w:r>
      <w:r>
        <w:t xml:space="preserve"> y su futuro. Y por ende el disfrutar de sus derechos. </w:t>
      </w:r>
    </w:p>
    <w:p w:rsidR="00F04E89" w:rsidRDefault="00420A23">
      <w:pPr>
        <w:ind w:left="-15" w:right="0"/>
      </w:pPr>
      <w:r>
        <w:t>Las normas discriminatorias son perpetuadas por las comunidades y pueden ser reforzadas por las instituciones p</w:t>
      </w:r>
      <w:r>
        <w:t xml:space="preserve">olíticas, económicas, jurídicas y sociales, como las escuelas, los medios de comunicación, e incluso por los servicios de salud. </w:t>
      </w:r>
    </w:p>
    <w:p w:rsidR="00F04E89" w:rsidRDefault="00420A23">
      <w:pPr>
        <w:ind w:left="-15" w:right="0"/>
      </w:pPr>
      <w:r>
        <w:t xml:space="preserve">Estos servicios pueden, por ejemplo, socavar la autonomía debido a su escasa calidad y a su incapacidad para satisfacer todas </w:t>
      </w:r>
      <w:r>
        <w:t xml:space="preserve">las necesidades de las mujeres y las adolescentes. </w:t>
      </w:r>
    </w:p>
    <w:p w:rsidR="00F04E89" w:rsidRDefault="00420A23">
      <w:pPr>
        <w:ind w:left="-15" w:right="0"/>
      </w:pPr>
      <w:r>
        <w:t>En este orden de ideas, de acuerdo con datos del Informe del Estado de la Población Mundial (2021) A pesar de que en numerosos países existen garantías constitucionales en materia de igualdad de género, e</w:t>
      </w:r>
      <w:r>
        <w:t>n el plano mundial las mujeres tienen, en promedio, solo el 75% de los derechos jurídicos de los hombres.</w:t>
      </w:r>
      <w:r>
        <w:rPr>
          <w:vertAlign w:val="superscript"/>
        </w:rPr>
        <w:footnoteReference w:id="2"/>
      </w:r>
      <w:r>
        <w:t xml:space="preserve"> </w:t>
      </w:r>
    </w:p>
    <w:p w:rsidR="00F04E89" w:rsidRDefault="00420A23">
      <w:pPr>
        <w:ind w:left="-15" w:right="0"/>
      </w:pPr>
      <w:r>
        <w:t>En la Agenda 2030 para el Desarrollo Sostenible y los objetivos que la acompañan, se establecen indicadores que ayudan a los gobiernos a realizar un</w:t>
      </w:r>
      <w:r>
        <w:t xml:space="preserve"> seguimiento del progreso obtenido, entre los que se propone asegurar el acceso universal a la salud y a los derechos reproductivos de las mujeres.  </w:t>
      </w:r>
    </w:p>
    <w:p w:rsidR="00F04E89" w:rsidRDefault="00420A23">
      <w:pPr>
        <w:spacing w:after="195"/>
        <w:ind w:left="-15" w:right="0"/>
      </w:pPr>
      <w:r>
        <w:t>Con estos indicadores, se mide la proporción de mujeres de entre 15 y 49 años que toman sus propias decisi</w:t>
      </w:r>
      <w:r>
        <w:t xml:space="preserve">ones, libres e informadas sobre la atención de la salud y sobre sus derechos reproductivos. Y en resultados se obtuvo que una de </w:t>
      </w:r>
      <w:r>
        <w:lastRenderedPageBreak/>
        <w:t>cada dos mujeres y niñas tiene el poder de decidir si desea obtener atención de la salud.</w:t>
      </w:r>
      <w:r>
        <w:rPr>
          <w:vertAlign w:val="superscript"/>
        </w:rPr>
        <w:footnoteReference w:id="3"/>
      </w:r>
      <w:r>
        <w:t xml:space="preserve"> </w:t>
      </w:r>
    </w:p>
    <w:p w:rsidR="00F04E89" w:rsidRDefault="00420A23">
      <w:pPr>
        <w:ind w:left="-15" w:right="0"/>
      </w:pPr>
      <w:r>
        <w:t>En el ámbito nacional, de acuerdo c</w:t>
      </w:r>
      <w:r>
        <w:t>on datos obtenidos de la Encuesta Nacional de Imagen Institucional del Instituto Mexicano del Seguro Social, poco más de la mitad de personas usuarias del sistema de salud son mujeres (58%)</w:t>
      </w:r>
      <w:r>
        <w:rPr>
          <w:vertAlign w:val="superscript"/>
        </w:rPr>
        <w:footnoteReference w:id="4"/>
      </w:r>
      <w:r>
        <w:t xml:space="preserve"> y de las cuales el 23% tuvo atención médica con un acompañante.  </w:t>
      </w:r>
    </w:p>
    <w:p w:rsidR="00F04E89" w:rsidRDefault="00420A23">
      <w:pPr>
        <w:ind w:left="-15" w:right="0"/>
      </w:pPr>
      <w:r>
        <w:t>De igual manera, en dicha encuesta se puede observar un dato alarmante, con relación a la percepción de “</w:t>
      </w:r>
      <w:r>
        <w:rPr>
          <w:b/>
        </w:rPr>
        <w:t>mal trato</w:t>
      </w:r>
      <w:r>
        <w:t>” por parte del personal al momento de proporcionar atención médica, pues la proporción mayor se refleja en la opinión de las mujeres en un 4</w:t>
      </w:r>
      <w:r>
        <w:t>4%.</w:t>
      </w:r>
      <w:r>
        <w:rPr>
          <w:vertAlign w:val="superscript"/>
        </w:rPr>
        <w:t>5</w:t>
      </w:r>
      <w:r>
        <w:t xml:space="preserve"> Situación que representa la incapacidad para satisfacer las necesidades de las mujeres para recibir atención médica de calidad.  </w:t>
      </w:r>
    </w:p>
    <w:p w:rsidR="00F04E89" w:rsidRDefault="00420A23">
      <w:pPr>
        <w:ind w:left="-15" w:right="0"/>
      </w:pPr>
      <w:r>
        <w:t>Por otro lado, hoy en día aún encontramos muchos casos donde perdura el sometimiento de los varones y negatividad para qu</w:t>
      </w:r>
      <w:r>
        <w:t xml:space="preserve">e las mujeres sean atendidas, estas ocurrencias están asociadas en diversas ocasiones con temas socioeconómicos y culturales, situación en la que se pone en riesgo la vida de las mujeres.  </w:t>
      </w:r>
    </w:p>
    <w:p w:rsidR="00F04E89" w:rsidRDefault="00420A23">
      <w:pPr>
        <w:ind w:left="-15" w:right="0"/>
      </w:pPr>
      <w:r>
        <w:t>Estas acciones dependen en muchas ocasiones de la situación conyug</w:t>
      </w:r>
      <w:r>
        <w:t>al o laboral de la mujer, así como la dependencia económica, al cónyuge, concubino o responsable laboral; mismas que propician que la accesibilidad a una unidad de salud se ajuste a las condiciones de la persona a la que es dependiente, situación que las o</w:t>
      </w:r>
      <w:r>
        <w:t xml:space="preserve">bliga a privarse de la atención médica, ya sea por sometimiento físico, verbal o económico. </w:t>
      </w:r>
    </w:p>
    <w:p w:rsidR="00F04E89" w:rsidRDefault="00420A23">
      <w:pPr>
        <w:ind w:left="-15" w:right="0"/>
      </w:pPr>
      <w:r>
        <w:t>Esta situación no es un caso aislado de comunidades urbanas, pues, hablando de mujeres residentes en comunidades rurales, el derecho a la salud adquiere una releva</w:t>
      </w:r>
      <w:r>
        <w:t>ncia y característica importante al conjugarse una serie de elementos hacen que las mujeres residentes de comunidades rurales sean más susceptibles a ser  vulneradas social, económica y políticamente; dejándolas en condiciones de desigualdad e inequidad en</w:t>
      </w:r>
      <w:r>
        <w:t xml:space="preserve"> relación con el resto de la población, lo que conlleva a una discriminación y merma sus derechos humanos. </w:t>
      </w:r>
    </w:p>
    <w:p w:rsidR="00F04E89" w:rsidRDefault="00420A23">
      <w:pPr>
        <w:ind w:left="-15" w:right="0"/>
      </w:pPr>
      <w:r>
        <w:t>Ahora de acuerdo con datos del informe anual sobre el Estado de la Población Mundial</w:t>
      </w:r>
      <w:r>
        <w:rPr>
          <w:vertAlign w:val="superscript"/>
        </w:rPr>
        <w:footnoteReference w:id="5"/>
      </w:r>
      <w:r>
        <w:t>; En algunos hogares, los hombres, ostentan el rol como cabezas</w:t>
      </w:r>
      <w:r>
        <w:t xml:space="preserve"> de familia y suelen tomar muchas de las decisiones, incluidas las relacionadas con la salud.  </w:t>
      </w:r>
    </w:p>
    <w:p w:rsidR="00F04E89" w:rsidRDefault="00420A23">
      <w:pPr>
        <w:ind w:left="-15" w:right="0"/>
      </w:pPr>
      <w:r>
        <w:t>En este sentido, las normas de género suelen asignar a las mujeres la responsabilidad exclusiva de la salud reproductiva y general, pero al mismo tiempo les nie</w:t>
      </w:r>
      <w:r>
        <w:t xml:space="preserve">gan el poder de decisión para su debida atención, control y cuidados.  </w:t>
      </w:r>
    </w:p>
    <w:p w:rsidR="00F04E89" w:rsidRDefault="00420A23">
      <w:pPr>
        <w:ind w:left="-15" w:right="0"/>
      </w:pPr>
      <w:r>
        <w:t>De acuerdo con los últimos datos de la Comisión Económica para América Latina y El Caribe (CEPAL), 3 de cada 10 mujeres mayores de 15 años en la República Mexicana no genera ingresos e</w:t>
      </w:r>
      <w:r>
        <w:t xml:space="preserve">conómicos propios. Este dato refleja que la autonomía de algunas mujeres se ve perjudicada y volviéndolas dependientes en su totalidad de otros. Limitando su acceso a oportunidades de salud y bienestar.  </w:t>
      </w:r>
    </w:p>
    <w:p w:rsidR="00F04E89" w:rsidRDefault="00420A23">
      <w:pPr>
        <w:ind w:left="-15" w:right="0"/>
      </w:pPr>
      <w:r>
        <w:t>Resulta relevante que las mujeres cuenten con ingre</w:t>
      </w:r>
      <w:r>
        <w:t xml:space="preserve">sos propios pues de esta manera, pueden administrar sus propios recursos para cubrir sus necesidades de alimentación, salud y bienestar en general. </w:t>
      </w:r>
    </w:p>
    <w:p w:rsidR="00F04E89" w:rsidRDefault="00420A23">
      <w:pPr>
        <w:ind w:left="-15" w:right="0"/>
      </w:pPr>
      <w:r>
        <w:t xml:space="preserve">Con base a lo expuesto con anterioridad, resulta urgente impulsar y reafirmar las acciones necesarias para </w:t>
      </w:r>
      <w:r>
        <w:t xml:space="preserve">eliminar de este tipo de violencia en nuestro estado; por tal motivo, la presente iniciativa busca adicionar el concepto expreso de </w:t>
      </w:r>
      <w:r>
        <w:rPr>
          <w:b/>
        </w:rPr>
        <w:t>violencia contra la salud</w:t>
      </w:r>
      <w:r>
        <w:t xml:space="preserve"> de las mujeres con el propósito de erradicar estas prácticas discriminatorias hacía las mujeres en</w:t>
      </w:r>
      <w:r>
        <w:t xml:space="preserve"> la sociedad yucateca, de igual modo con miras de fortalecer la protección de los derechos de la salud, se busca brindar atribuciones a la Secretaría de salud para propiciar el adecuado seguimiento en materia de salud física y psicológica a las y los hijos</w:t>
      </w:r>
      <w:r>
        <w:t xml:space="preserve"> de las mujeres víctimas de violencia.  </w:t>
      </w:r>
    </w:p>
    <w:p w:rsidR="00F04E89" w:rsidRDefault="00420A23">
      <w:pPr>
        <w:ind w:left="-15" w:right="0"/>
      </w:pPr>
      <w:r>
        <w:t>Como legisladores, debemos seguir emprendiendo acciones necesarias para que las mujeres en nuestro estado puedan ejercer libremente su derecho a la salud, con una atención digna, respetuosa y de calidad en cualquier</w:t>
      </w:r>
      <w:r>
        <w:t xml:space="preserve"> momento que requieran de atención médica, sin ser víctimas de cualquier acto de violencia o discriminación. </w:t>
      </w:r>
    </w:p>
    <w:p w:rsidR="00F04E89" w:rsidRDefault="00420A23">
      <w:pPr>
        <w:spacing w:after="0"/>
        <w:ind w:left="-15" w:right="0"/>
      </w:pPr>
      <w:r>
        <w:t xml:space="preserve">Por ello, la fracción del PRI considera que se requiere no solo la promoción y exigencia de su observancia, sino generar las bases para que en la </w:t>
      </w:r>
      <w:r>
        <w:t xml:space="preserve">vida diaria la integridad y el acceso a la salud de las mujeres sea cada vez más equitativa, plural y libre de violencia. </w:t>
      </w:r>
    </w:p>
    <w:p w:rsidR="00F04E89" w:rsidRDefault="00420A23">
      <w:pPr>
        <w:spacing w:after="117" w:line="259" w:lineRule="auto"/>
        <w:ind w:left="708" w:right="0" w:firstLine="0"/>
        <w:jc w:val="left"/>
      </w:pPr>
      <w:r>
        <w:t xml:space="preserve">  </w:t>
      </w:r>
    </w:p>
    <w:p w:rsidR="00F04E89" w:rsidRDefault="00420A23">
      <w:pPr>
        <w:ind w:left="-15" w:right="0"/>
      </w:pPr>
      <w:r>
        <w:t>Por los motivos anteriormente expuestos y de conformidad con la legislación previamente invocada, me permito presentar el siguient</w:t>
      </w:r>
      <w:r>
        <w:t xml:space="preserve">e: </w:t>
      </w:r>
    </w:p>
    <w:p w:rsidR="00F04E89" w:rsidRDefault="00420A23">
      <w:pPr>
        <w:spacing w:after="273" w:line="259" w:lineRule="auto"/>
        <w:ind w:left="708" w:right="0" w:firstLine="0"/>
        <w:jc w:val="left"/>
      </w:pPr>
      <w:r>
        <w:t xml:space="preserve"> </w:t>
      </w:r>
    </w:p>
    <w:p w:rsidR="00F04E89" w:rsidRDefault="00420A23">
      <w:pPr>
        <w:spacing w:after="172" w:line="267" w:lineRule="auto"/>
        <w:ind w:left="15" w:right="14" w:hanging="10"/>
        <w:jc w:val="center"/>
      </w:pPr>
      <w:r>
        <w:rPr>
          <w:b/>
        </w:rPr>
        <w:t xml:space="preserve">DECRETO </w:t>
      </w:r>
    </w:p>
    <w:p w:rsidR="00F04E89" w:rsidRDefault="00420A23">
      <w:pPr>
        <w:spacing w:after="150" w:line="250" w:lineRule="auto"/>
        <w:ind w:left="-5" w:right="0" w:hanging="10"/>
      </w:pPr>
      <w:r>
        <w:rPr>
          <w:b/>
        </w:rPr>
        <w:t xml:space="preserve">POR EL QUE SE REFORMA LEY DE ACCESO DE LAS MUJERES A UNA VIDA LIBRE DE VIOLENCIA DEL ESTADO DE YUCATÁN. </w:t>
      </w:r>
    </w:p>
    <w:p w:rsidR="00F04E89" w:rsidRDefault="00420A23">
      <w:pPr>
        <w:spacing w:line="259" w:lineRule="auto"/>
        <w:ind w:left="-15" w:right="0" w:firstLine="0"/>
      </w:pPr>
      <w:r>
        <w:rPr>
          <w:b/>
        </w:rPr>
        <w:t>ARTÍCULO ÚNICO:</w:t>
      </w:r>
      <w:r>
        <w:t xml:space="preserve"> Se reforma el artículo 6 fracción XII; se adiciona la fracción IX en el artículo 7 </w:t>
      </w:r>
      <w:r>
        <w:t xml:space="preserve">y se modifica la fracción I del artículo 15 de la Ley de Acceso de las Mujeres a una Vida Libre de Violencia del Estado de Yucatán, para quedar como sigue: </w:t>
      </w:r>
    </w:p>
    <w:p w:rsidR="00F04E89" w:rsidRDefault="00420A2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04E89" w:rsidRDefault="00420A23">
      <w:pPr>
        <w:spacing w:after="150" w:line="250" w:lineRule="auto"/>
        <w:ind w:left="-5" w:right="0" w:hanging="10"/>
      </w:pPr>
      <w:r>
        <w:rPr>
          <w:b/>
        </w:rPr>
        <w:t xml:space="preserve">Artículo 6. Tipos de violencia  </w:t>
      </w:r>
    </w:p>
    <w:p w:rsidR="00F04E89" w:rsidRDefault="00420A23">
      <w:pPr>
        <w:spacing w:line="240" w:lineRule="auto"/>
        <w:ind w:left="-15" w:right="0" w:firstLine="0"/>
      </w:pPr>
      <w:r>
        <w:t>Las medidas de atención a que se refiere esta ley corresponderán</w:t>
      </w:r>
      <w:r>
        <w:t xml:space="preserve"> a los tipos de violencia siguientes: </w:t>
      </w:r>
    </w:p>
    <w:p w:rsidR="00F04E89" w:rsidRDefault="00420A23">
      <w:pPr>
        <w:spacing w:after="136" w:line="259" w:lineRule="auto"/>
        <w:ind w:left="0" w:right="0" w:firstLine="0"/>
        <w:jc w:val="left"/>
      </w:pPr>
      <w:r>
        <w:t xml:space="preserve"> </w:t>
      </w:r>
    </w:p>
    <w:p w:rsidR="00F04E89" w:rsidRDefault="00420A23">
      <w:pPr>
        <w:spacing w:line="259" w:lineRule="auto"/>
        <w:ind w:left="-15" w:right="0" w:firstLine="0"/>
      </w:pPr>
      <w:r>
        <w:t xml:space="preserve">I.  a XI.  </w:t>
      </w:r>
    </w:p>
    <w:p w:rsidR="00F04E89" w:rsidRDefault="00420A23">
      <w:pPr>
        <w:spacing w:after="193" w:line="241" w:lineRule="auto"/>
        <w:ind w:left="-15" w:right="0" w:firstLine="0"/>
      </w:pPr>
      <w:r>
        <w:t xml:space="preserve">XII. Cualesquiera otras formas análogas que lesionen o sean susceptibles de dañar la dignidad, </w:t>
      </w:r>
      <w:r>
        <w:rPr>
          <w:b/>
        </w:rPr>
        <w:t>salud,</w:t>
      </w:r>
      <w:r>
        <w:t xml:space="preserve"> integridad o libertad de las mujeres. </w:t>
      </w:r>
    </w:p>
    <w:p w:rsidR="00F04E89" w:rsidRDefault="00420A23">
      <w:pPr>
        <w:spacing w:after="136" w:line="259" w:lineRule="auto"/>
        <w:ind w:left="-15" w:right="0" w:firstLine="0"/>
      </w:pPr>
      <w:r>
        <w:t xml:space="preserve">… </w:t>
      </w:r>
    </w:p>
    <w:p w:rsidR="00F04E89" w:rsidRDefault="00420A23">
      <w:pPr>
        <w:spacing w:after="139" w:line="259" w:lineRule="auto"/>
        <w:ind w:left="0" w:right="0" w:firstLine="0"/>
        <w:jc w:val="left"/>
      </w:pPr>
      <w:r>
        <w:t xml:space="preserve"> </w:t>
      </w:r>
    </w:p>
    <w:p w:rsidR="00F04E89" w:rsidRDefault="00420A23">
      <w:pPr>
        <w:spacing w:after="150" w:line="250" w:lineRule="auto"/>
        <w:ind w:left="-5" w:right="0" w:hanging="10"/>
      </w:pPr>
      <w:r>
        <w:rPr>
          <w:b/>
        </w:rPr>
        <w:t xml:space="preserve">Artículo 7. Modalidades de violencia  </w:t>
      </w:r>
    </w:p>
    <w:p w:rsidR="00F04E89" w:rsidRDefault="00420A23">
      <w:pPr>
        <w:spacing w:line="240" w:lineRule="auto"/>
        <w:ind w:left="-15" w:right="0" w:firstLine="0"/>
      </w:pPr>
      <w:r>
        <w:t xml:space="preserve">Los tipos de violencia, mencionados en el artículo anterior, se pueden presentar en las modalidades siguientes:  </w:t>
      </w:r>
    </w:p>
    <w:p w:rsidR="00F04E89" w:rsidRDefault="00420A23">
      <w:pPr>
        <w:spacing w:after="139" w:line="259" w:lineRule="auto"/>
        <w:ind w:left="0" w:right="0" w:firstLine="0"/>
        <w:jc w:val="left"/>
      </w:pPr>
      <w:r>
        <w:t xml:space="preserve"> </w:t>
      </w:r>
    </w:p>
    <w:p w:rsidR="00F04E89" w:rsidRDefault="00420A23">
      <w:pPr>
        <w:spacing w:after="136" w:line="259" w:lineRule="auto"/>
        <w:ind w:left="-15" w:right="0" w:firstLine="0"/>
      </w:pPr>
      <w:r>
        <w:t xml:space="preserve">I.  a VIII.  </w:t>
      </w:r>
    </w:p>
    <w:p w:rsidR="00F04E89" w:rsidRDefault="00420A23">
      <w:pPr>
        <w:spacing w:after="172" w:line="259" w:lineRule="auto"/>
        <w:ind w:left="0" w:right="0" w:firstLine="0"/>
        <w:jc w:val="left"/>
      </w:pPr>
      <w:r>
        <w:t xml:space="preserve"> </w:t>
      </w:r>
    </w:p>
    <w:p w:rsidR="00F04E89" w:rsidRDefault="00420A23">
      <w:pPr>
        <w:spacing w:line="259" w:lineRule="auto"/>
        <w:ind w:left="-15" w:right="0" w:firstLine="0"/>
      </w:pPr>
      <w:r>
        <w:t xml:space="preserve">… </w:t>
      </w:r>
    </w:p>
    <w:p w:rsidR="00F04E89" w:rsidRDefault="00420A23">
      <w:pPr>
        <w:spacing w:after="136" w:line="259" w:lineRule="auto"/>
        <w:ind w:left="0" w:right="0" w:firstLine="0"/>
        <w:jc w:val="left"/>
      </w:pPr>
      <w:r>
        <w:t xml:space="preserve"> </w:t>
      </w:r>
    </w:p>
    <w:p w:rsidR="00F04E89" w:rsidRDefault="00420A23">
      <w:pPr>
        <w:spacing w:after="150" w:line="250" w:lineRule="auto"/>
        <w:ind w:left="-5" w:right="0" w:hanging="10"/>
      </w:pPr>
      <w:r>
        <w:rPr>
          <w:b/>
        </w:rPr>
        <w:t>IX. Violencia contra la salud: es toda acción u omisión ejercida por cualquier persona sobre otra, con el fin de atenta</w:t>
      </w:r>
      <w:r>
        <w:rPr>
          <w:b/>
        </w:rPr>
        <w:t>r y dañar directamente la salud e integridad, así como la prohibición o negación de recibir la atención médica necesaria de las mujeres.</w:t>
      </w:r>
      <w:r>
        <w:t xml:space="preserve"> </w:t>
      </w:r>
    </w:p>
    <w:p w:rsidR="00F04E89" w:rsidRDefault="00420A23">
      <w:pPr>
        <w:spacing w:after="160" w:line="259" w:lineRule="auto"/>
        <w:ind w:left="0" w:right="0" w:firstLine="0"/>
        <w:jc w:val="left"/>
      </w:pPr>
      <w:r>
        <w:t xml:space="preserve"> </w:t>
      </w:r>
    </w:p>
    <w:p w:rsidR="00F04E89" w:rsidRDefault="00420A23">
      <w:pPr>
        <w:spacing w:line="240" w:lineRule="auto"/>
        <w:ind w:left="-15" w:right="0" w:firstLine="0"/>
      </w:pPr>
      <w:r>
        <w:rPr>
          <w:b/>
        </w:rPr>
        <w:t>Artículo 15.</w:t>
      </w:r>
      <w:r>
        <w:t xml:space="preserve"> </w:t>
      </w:r>
      <w:r>
        <w:t xml:space="preserve">Secretaría de Salud La Secretaría de Salud, en el ámbito de su competencia, tendrá las atribuciones siguientes: </w:t>
      </w:r>
    </w:p>
    <w:p w:rsidR="00F04E89" w:rsidRDefault="00420A23">
      <w:pPr>
        <w:spacing w:after="188" w:line="250" w:lineRule="auto"/>
        <w:ind w:left="-5" w:right="0" w:hanging="10"/>
      </w:pPr>
      <w:r>
        <w:t xml:space="preserve">I. Otorgar, a través de las instituciones del sector salud, atención médica y psicológica con perspectiva de género a las víctimas, </w:t>
      </w:r>
      <w:r>
        <w:rPr>
          <w:b/>
        </w:rPr>
        <w:t xml:space="preserve">así como a </w:t>
      </w:r>
      <w:r>
        <w:rPr>
          <w:b/>
        </w:rPr>
        <w:t xml:space="preserve">sus hijos e hijas, el derecho a la atención médica y al seguimiento de la evolución en su estado de salud integridad hasta su recuperación. </w:t>
      </w:r>
    </w:p>
    <w:p w:rsidR="00F04E89" w:rsidRDefault="00420A23">
      <w:pPr>
        <w:spacing w:after="283" w:line="259" w:lineRule="auto"/>
        <w:ind w:left="-15" w:right="0" w:firstLine="0"/>
      </w:pPr>
      <w:r>
        <w:t xml:space="preserve">(…) </w:t>
      </w:r>
    </w:p>
    <w:p w:rsidR="00F04E89" w:rsidRDefault="00420A23">
      <w:pPr>
        <w:spacing w:after="172" w:line="267" w:lineRule="auto"/>
        <w:ind w:left="15" w:right="11" w:hanging="10"/>
        <w:jc w:val="center"/>
      </w:pPr>
      <w:r>
        <w:rPr>
          <w:b/>
        </w:rPr>
        <w:t xml:space="preserve">ARTÍCULOS TRANSITORIOS </w:t>
      </w:r>
    </w:p>
    <w:p w:rsidR="00F04E89" w:rsidRDefault="00420A23">
      <w:pPr>
        <w:spacing w:after="405" w:line="250" w:lineRule="auto"/>
        <w:ind w:left="-5" w:right="0" w:hanging="10"/>
      </w:pPr>
      <w:r>
        <w:rPr>
          <w:b/>
        </w:rPr>
        <w:t xml:space="preserve">Entrada en vigor </w:t>
      </w:r>
    </w:p>
    <w:p w:rsidR="00F04E89" w:rsidRDefault="00420A23">
      <w:pPr>
        <w:spacing w:after="276"/>
        <w:ind w:left="-15" w:right="0" w:firstLine="0"/>
      </w:pPr>
      <w:r>
        <w:rPr>
          <w:b/>
        </w:rPr>
        <w:t>PRIMERO.</w:t>
      </w:r>
      <w:r>
        <w:t xml:space="preserve"> - El presente Decreto entrará en vigor al día siguiente de </w:t>
      </w:r>
      <w:r>
        <w:t>su publicación en el Diario Oficial del Gobierno del Estado de Yucatán.</w:t>
      </w:r>
      <w:r>
        <w:rPr>
          <w:b/>
        </w:rPr>
        <w:t xml:space="preserve"> </w:t>
      </w:r>
    </w:p>
    <w:p w:rsidR="00F04E89" w:rsidRDefault="00420A23">
      <w:pPr>
        <w:spacing w:after="406" w:line="250" w:lineRule="auto"/>
        <w:ind w:left="-5" w:right="0" w:hanging="10"/>
      </w:pPr>
      <w:r>
        <w:rPr>
          <w:b/>
        </w:rPr>
        <w:t xml:space="preserve">Derogación expresa </w:t>
      </w:r>
    </w:p>
    <w:p w:rsidR="00F04E89" w:rsidRDefault="00420A23">
      <w:pPr>
        <w:ind w:left="-15" w:right="0" w:firstLine="0"/>
      </w:pPr>
      <w:r>
        <w:rPr>
          <w:b/>
        </w:rPr>
        <w:t>SEGUNDO.</w:t>
      </w:r>
      <w:r>
        <w:t xml:space="preserve"> – Se derogan todas las disposiciones de igual o menor jerarquía que se opongan al presente decreto.</w:t>
      </w:r>
      <w:r>
        <w:rPr>
          <w:b/>
        </w:rPr>
        <w:t xml:space="preserve"> </w:t>
      </w:r>
    </w:p>
    <w:p w:rsidR="00F04E89" w:rsidRDefault="00420A23">
      <w:pPr>
        <w:spacing w:line="273" w:lineRule="auto"/>
        <w:ind w:left="-15" w:right="0" w:firstLine="0"/>
      </w:pPr>
      <w:r>
        <w:t xml:space="preserve">Signado en la Ciudad de Mérida, Yucatán, México a los 18 días del mes de octubre del año 2023. </w:t>
      </w:r>
    </w:p>
    <w:p w:rsidR="00F04E89" w:rsidRDefault="00420A23">
      <w:pPr>
        <w:spacing w:after="180" w:line="259" w:lineRule="auto"/>
        <w:ind w:left="0" w:right="0" w:firstLine="0"/>
        <w:jc w:val="left"/>
      </w:pPr>
      <w:r>
        <w:t xml:space="preserve"> </w:t>
      </w:r>
    </w:p>
    <w:p w:rsidR="00F04E89" w:rsidRDefault="00420A23">
      <w:pPr>
        <w:spacing w:after="172" w:line="267" w:lineRule="auto"/>
        <w:ind w:left="15" w:right="15" w:hanging="10"/>
        <w:jc w:val="center"/>
      </w:pPr>
      <w:r>
        <w:rPr>
          <w:b/>
        </w:rPr>
        <w:t xml:space="preserve">ATENTAMENTE.  </w:t>
      </w:r>
    </w:p>
    <w:p w:rsidR="00F04E89" w:rsidRDefault="00420A23">
      <w:pPr>
        <w:spacing w:after="172" w:line="267" w:lineRule="auto"/>
        <w:ind w:left="15" w:right="0" w:hanging="10"/>
        <w:jc w:val="center"/>
      </w:pPr>
      <w:r>
        <w:rPr>
          <w:b/>
        </w:rPr>
        <w:t>DIPUTADA Y DIPUTADO INTEGRANTES DE LA FRACCIÓN LEGISLATIVA DEL PARTIDO REVOLUCIONARIO INSTITUCIONAL DE LA SEXAGÉSIMA TERCERA LEGISLATURA LOCAL.</w:t>
      </w:r>
      <w:r>
        <w:rPr>
          <w:b/>
        </w:rPr>
        <w:t xml:space="preserve">  </w:t>
      </w:r>
    </w:p>
    <w:p w:rsidR="00F04E89" w:rsidRDefault="00420A23">
      <w:pPr>
        <w:spacing w:after="18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04E89" w:rsidRDefault="00420A23">
      <w:pPr>
        <w:spacing w:after="180" w:line="259" w:lineRule="auto"/>
        <w:ind w:left="61" w:right="0" w:firstLine="0"/>
        <w:jc w:val="center"/>
      </w:pPr>
      <w:r>
        <w:rPr>
          <w:b/>
        </w:rPr>
        <w:t xml:space="preserve"> </w:t>
      </w:r>
    </w:p>
    <w:p w:rsidR="00F04E89" w:rsidRDefault="00420A23">
      <w:pPr>
        <w:spacing w:after="18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04E89" w:rsidRDefault="00420A23">
      <w:pPr>
        <w:tabs>
          <w:tab w:val="center" w:pos="2206"/>
          <w:tab w:val="right" w:pos="8844"/>
        </w:tabs>
        <w:spacing w:after="36" w:line="25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DIP. KARLA REYNA FRANCO </w:t>
      </w:r>
      <w:r>
        <w:rPr>
          <w:b/>
        </w:rPr>
        <w:tab/>
        <w:t xml:space="preserve">DIP. GASPAR ARMANDO QUINTAL </w:t>
      </w:r>
    </w:p>
    <w:p w:rsidR="00F04E89" w:rsidRDefault="00420A23">
      <w:pPr>
        <w:tabs>
          <w:tab w:val="center" w:pos="2204"/>
          <w:tab w:val="center" w:pos="6620"/>
        </w:tabs>
        <w:spacing w:after="0" w:line="267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BLANCO </w:t>
      </w:r>
      <w:r>
        <w:rPr>
          <w:b/>
        </w:rPr>
        <w:tab/>
        <w:t xml:space="preserve">PARRA </w:t>
      </w:r>
    </w:p>
    <w:p w:rsidR="00F04E89" w:rsidRDefault="00420A23">
      <w:pPr>
        <w:spacing w:after="0" w:line="259" w:lineRule="auto"/>
        <w:ind w:left="44" w:right="0" w:firstLine="0"/>
        <w:jc w:val="center"/>
      </w:pP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</w:p>
    <w:p w:rsidR="00F04E89" w:rsidRDefault="00420A23">
      <w:pPr>
        <w:spacing w:after="158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F04E89" w:rsidRDefault="00420A23">
      <w:pPr>
        <w:spacing w:after="3" w:line="259" w:lineRule="auto"/>
        <w:ind w:left="-5" w:right="0" w:hanging="10"/>
        <w:jc w:val="left"/>
      </w:pPr>
      <w:r>
        <w:rPr>
          <w:sz w:val="22"/>
        </w:rPr>
        <w:t>“</w:t>
      </w:r>
      <w:r>
        <w:rPr>
          <w:i/>
          <w:sz w:val="18"/>
        </w:rPr>
        <w:t xml:space="preserve">Esta hoja de firmas pertenece a la iniciativa por la que se reforma la Ley de Acceso de las Mujeres a una Vida </w:t>
      </w:r>
    </w:p>
    <w:p w:rsidR="00F04E89" w:rsidRDefault="00420A23">
      <w:pPr>
        <w:spacing w:after="3" w:line="259" w:lineRule="auto"/>
        <w:ind w:left="-5" w:right="0" w:hanging="10"/>
        <w:jc w:val="left"/>
      </w:pPr>
      <w:r>
        <w:rPr>
          <w:i/>
          <w:sz w:val="18"/>
        </w:rPr>
        <w:t xml:space="preserve">Libre de Violencia del estado </w:t>
      </w:r>
      <w:r>
        <w:rPr>
          <w:i/>
          <w:sz w:val="18"/>
        </w:rPr>
        <w:t xml:space="preserve">de Yucatán, en materia de violencia contra la salud.” </w:t>
      </w:r>
    </w:p>
    <w:sectPr w:rsidR="00F04E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591" w:right="1694" w:bottom="1416" w:left="1702" w:header="542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A23" w:rsidRDefault="00420A23">
      <w:pPr>
        <w:spacing w:after="0" w:line="240" w:lineRule="auto"/>
      </w:pPr>
      <w:r>
        <w:separator/>
      </w:r>
    </w:p>
  </w:endnote>
  <w:endnote w:type="continuationSeparator" w:id="0">
    <w:p w:rsidR="00420A23" w:rsidRDefault="00420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E89" w:rsidRDefault="00420A23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04E89" w:rsidRDefault="00420A23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E89" w:rsidRDefault="00420A23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3C36" w:rsidRPr="00E33C36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04E89" w:rsidRDefault="00420A23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E89" w:rsidRDefault="00420A23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04E89" w:rsidRDefault="00420A23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A23" w:rsidRDefault="00420A23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:rsidR="00420A23" w:rsidRDefault="00420A23">
      <w:pPr>
        <w:spacing w:after="0" w:line="259" w:lineRule="auto"/>
        <w:ind w:left="0" w:right="0" w:firstLine="0"/>
        <w:jc w:val="left"/>
      </w:pPr>
      <w:r>
        <w:continuationSeparator/>
      </w:r>
    </w:p>
  </w:footnote>
  <w:footnote w:id="1">
    <w:p w:rsidR="00F04E89" w:rsidRDefault="00420A23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t xml:space="preserve">Ley de Acceso de las Mujeres a una Vida Libre de Violencia del Estado de Yucatán. </w:t>
      </w:r>
    </w:p>
  </w:footnote>
  <w:footnote w:id="2">
    <w:p w:rsidR="00F04E89" w:rsidRDefault="00420A23">
      <w:pPr>
        <w:pStyle w:val="footnotedescription"/>
        <w:spacing w:line="246" w:lineRule="auto"/>
      </w:pPr>
      <w:r>
        <w:rPr>
          <w:rStyle w:val="footnotemark"/>
        </w:rPr>
        <w:footnoteRef/>
      </w:r>
      <w:r>
        <w:t xml:space="preserve"> Informe del Estado de la Población Mundial, 2021. </w:t>
      </w:r>
      <w:hyperlink r:id="rId1">
        <w:r>
          <w:rPr>
            <w:u w:val="single" w:color="000000"/>
          </w:rPr>
          <w:t>https://lac.unfpa.org/es/publications/estado</w:t>
        </w:r>
      </w:hyperlink>
      <w:hyperlink r:id="rId2">
        <w:r>
          <w:rPr>
            <w:u w:val="single" w:color="000000"/>
          </w:rPr>
          <w:t>-</w:t>
        </w:r>
      </w:hyperlink>
      <w:hyperlink r:id="rId3">
        <w:r>
          <w:rPr>
            <w:u w:val="single" w:color="000000"/>
          </w:rPr>
          <w:t>de</w:t>
        </w:r>
      </w:hyperlink>
      <w:hyperlink r:id="rId4">
        <w:r>
          <w:rPr>
            <w:u w:val="single" w:color="000000"/>
          </w:rPr>
          <w:t>-</w:t>
        </w:r>
      </w:hyperlink>
      <w:hyperlink r:id="rId5">
        <w:r>
          <w:rPr>
            <w:u w:val="single" w:color="000000"/>
          </w:rPr>
          <w:t>la</w:t>
        </w:r>
      </w:hyperlink>
      <w:hyperlink r:id="rId6"/>
      <w:hyperlink r:id="rId7">
        <w:r>
          <w:rPr>
            <w:u w:val="single" w:color="000000"/>
          </w:rPr>
          <w:t>poblaci%C3%B3n</w:t>
        </w:r>
      </w:hyperlink>
      <w:hyperlink r:id="rId8">
        <w:r>
          <w:rPr>
            <w:u w:val="single" w:color="000000"/>
          </w:rPr>
          <w:t>-</w:t>
        </w:r>
      </w:hyperlink>
      <w:hyperlink r:id="rId9">
        <w:r>
          <w:rPr>
            <w:u w:val="single" w:color="000000"/>
          </w:rPr>
          <w:t>mundial</w:t>
        </w:r>
      </w:hyperlink>
      <w:hyperlink r:id="rId10">
        <w:r>
          <w:rPr>
            <w:u w:val="single" w:color="000000"/>
          </w:rPr>
          <w:t>-</w:t>
        </w:r>
      </w:hyperlink>
      <w:hyperlink r:id="rId11">
        <w:r>
          <w:rPr>
            <w:u w:val="single" w:color="000000"/>
          </w:rPr>
          <w:t>2021</w:t>
        </w:r>
      </w:hyperlink>
      <w:hyperlink r:id="rId12">
        <w:r>
          <w:rPr>
            <w:u w:val="single" w:color="000000"/>
          </w:rPr>
          <w:t>-</w:t>
        </w:r>
      </w:hyperlink>
      <w:hyperlink r:id="rId13">
        <w:r>
          <w:rPr>
            <w:u w:val="single" w:color="000000"/>
          </w:rPr>
          <w:t>%E2%80%9Cmi</w:t>
        </w:r>
      </w:hyperlink>
      <w:hyperlink r:id="rId14">
        <w:r>
          <w:rPr>
            <w:u w:val="single" w:color="000000"/>
          </w:rPr>
          <w:t>-</w:t>
        </w:r>
      </w:hyperlink>
      <w:hyperlink r:id="rId15">
        <w:r>
          <w:rPr>
            <w:u w:val="single" w:color="000000"/>
          </w:rPr>
          <w:t>cuerpo</w:t>
        </w:r>
      </w:hyperlink>
      <w:hyperlink r:id="rId16">
        <w:r>
          <w:rPr>
            <w:u w:val="single" w:color="000000"/>
          </w:rPr>
          <w:t>-</w:t>
        </w:r>
      </w:hyperlink>
      <w:hyperlink r:id="rId17">
        <w:r>
          <w:rPr>
            <w:u w:val="single" w:color="000000"/>
          </w:rPr>
          <w:t>me</w:t>
        </w:r>
      </w:hyperlink>
      <w:hyperlink r:id="rId18">
        <w:r>
          <w:rPr>
            <w:u w:val="single" w:color="000000"/>
          </w:rPr>
          <w:t>-</w:t>
        </w:r>
      </w:hyperlink>
      <w:hyperlink r:id="rId19">
        <w:r>
          <w:rPr>
            <w:u w:val="single" w:color="000000"/>
          </w:rPr>
          <w:t>pertenece</w:t>
        </w:r>
      </w:hyperlink>
      <w:hyperlink r:id="rId20">
        <w:r>
          <w:rPr>
            <w:u w:val="single" w:color="000000"/>
          </w:rPr>
          <w:t>-</w:t>
        </w:r>
      </w:hyperlink>
      <w:hyperlink r:id="rId21">
        <w:r>
          <w:rPr>
            <w:u w:val="single" w:color="000000"/>
          </w:rPr>
          <w:t>reclamar</w:t>
        </w:r>
      </w:hyperlink>
      <w:hyperlink r:id="rId22">
        <w:r>
          <w:rPr>
            <w:u w:val="single" w:color="000000"/>
          </w:rPr>
          <w:t>-</w:t>
        </w:r>
      </w:hyperlink>
      <w:hyperlink r:id="rId23">
        <w:r>
          <w:rPr>
            <w:u w:val="single" w:color="000000"/>
          </w:rPr>
          <w:t>el</w:t>
        </w:r>
      </w:hyperlink>
      <w:hyperlink r:id="rId24">
        <w:r>
          <w:rPr>
            <w:u w:val="single" w:color="000000"/>
          </w:rPr>
          <w:t>-</w:t>
        </w:r>
      </w:hyperlink>
      <w:hyperlink r:id="rId25">
        <w:r>
          <w:rPr>
            <w:u w:val="single" w:color="000000"/>
          </w:rPr>
          <w:t>derecho</w:t>
        </w:r>
      </w:hyperlink>
      <w:hyperlink r:id="rId26">
        <w:r>
          <w:rPr>
            <w:u w:val="single" w:color="000000"/>
          </w:rPr>
          <w:t>-</w:t>
        </w:r>
      </w:hyperlink>
      <w:hyperlink r:id="rId27">
        <w:r>
          <w:rPr>
            <w:u w:val="single" w:color="000000"/>
          </w:rPr>
          <w:t>la</w:t>
        </w:r>
      </w:hyperlink>
      <w:hyperlink r:id="rId28">
        <w:r>
          <w:t xml:space="preserve"> </w:t>
        </w:r>
      </w:hyperlink>
    </w:p>
    <w:p w:rsidR="00F04E89" w:rsidRDefault="00420A23">
      <w:pPr>
        <w:pStyle w:val="footnotedescription"/>
      </w:pPr>
      <w:r>
        <w:t xml:space="preserve"> </w:t>
      </w:r>
    </w:p>
  </w:footnote>
  <w:footnote w:id="3">
    <w:p w:rsidR="00F04E89" w:rsidRDefault="00420A23">
      <w:pPr>
        <w:pStyle w:val="footnotedescription"/>
        <w:spacing w:line="252" w:lineRule="auto"/>
        <w:ind w:right="10"/>
        <w:jc w:val="both"/>
      </w:pPr>
      <w:r>
        <w:rPr>
          <w:rStyle w:val="footnotemark"/>
        </w:rPr>
        <w:footnoteRef/>
      </w:r>
      <w:r>
        <w:t xml:space="preserve"> Fondo de Población de las Naciones Unidas, bases de datos mundiales, 2020. Basado en las encuestas demográficas y de salud (EDS). Basado en las encuestas de indicadores múltiples por conglomerados y otras encuestas nacionales llevadas a cabo en el período</w:t>
      </w:r>
      <w:r>
        <w:t xml:space="preserve"> 2007-2018. </w:t>
      </w:r>
    </w:p>
  </w:footnote>
  <w:footnote w:id="4">
    <w:p w:rsidR="00F04E89" w:rsidRDefault="00420A23">
      <w:pPr>
        <w:pStyle w:val="footnotedescription"/>
        <w:ind w:right="6356"/>
      </w:pPr>
      <w:r>
        <w:rPr>
          <w:rStyle w:val="footnotemark"/>
        </w:rPr>
        <w:footnoteRef/>
      </w:r>
      <w:r>
        <w:t xml:space="preserve"> (ENII-IMSS 2021). </w:t>
      </w:r>
      <w:r>
        <w:rPr>
          <w:vertAlign w:val="superscript"/>
        </w:rPr>
        <w:t>5</w:t>
      </w:r>
      <w:r>
        <w:t xml:space="preserve">(ENII-IMSS 2021). </w:t>
      </w:r>
    </w:p>
  </w:footnote>
  <w:footnote w:id="5">
    <w:p w:rsidR="00F04E89" w:rsidRDefault="00420A23">
      <w:pPr>
        <w:pStyle w:val="footnotedescription"/>
        <w:spacing w:line="265" w:lineRule="auto"/>
        <w:jc w:val="both"/>
      </w:pPr>
      <w:r>
        <w:rPr>
          <w:rStyle w:val="footnotemark"/>
        </w:rPr>
        <w:footnoteRef/>
      </w:r>
      <w:r>
        <w:t xml:space="preserve"> División de Comunicaciones y Alianzas Estratégicas del UNFPA, Informe Anual sobre el Estado de la Población Mundial (2021)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E89" w:rsidRDefault="00420A23">
    <w:pPr>
      <w:spacing w:after="0" w:line="259" w:lineRule="auto"/>
      <w:ind w:left="0" w:right="3641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3366516</wp:posOffset>
          </wp:positionH>
          <wp:positionV relativeFrom="page">
            <wp:posOffset>344424</wp:posOffset>
          </wp:positionV>
          <wp:extent cx="1018032" cy="1019556"/>
          <wp:effectExtent l="0" t="0" r="0" b="0"/>
          <wp:wrapSquare wrapText="bothSides"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8032" cy="10195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  <w:p w:rsidR="00F04E89" w:rsidRDefault="00420A23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E89" w:rsidRDefault="00420A23">
    <w:pPr>
      <w:spacing w:after="0" w:line="259" w:lineRule="auto"/>
      <w:ind w:left="0" w:right="3641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3366516</wp:posOffset>
          </wp:positionH>
          <wp:positionV relativeFrom="page">
            <wp:posOffset>344424</wp:posOffset>
          </wp:positionV>
          <wp:extent cx="1018032" cy="1019556"/>
          <wp:effectExtent l="0" t="0" r="0" b="0"/>
          <wp:wrapSquare wrapText="bothSides"/>
          <wp:docPr id="1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8032" cy="10195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  <w:p w:rsidR="00F04E89" w:rsidRDefault="00420A23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E89" w:rsidRDefault="00420A23">
    <w:pPr>
      <w:spacing w:after="0" w:line="259" w:lineRule="auto"/>
      <w:ind w:left="0" w:right="3641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3366516</wp:posOffset>
          </wp:positionH>
          <wp:positionV relativeFrom="page">
            <wp:posOffset>344424</wp:posOffset>
          </wp:positionV>
          <wp:extent cx="1018032" cy="1019556"/>
          <wp:effectExtent l="0" t="0" r="0" b="0"/>
          <wp:wrapSquare wrapText="bothSides"/>
          <wp:docPr id="2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8032" cy="10195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  <w:p w:rsidR="00F04E89" w:rsidRDefault="00420A23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89"/>
    <w:rsid w:val="00420A23"/>
    <w:rsid w:val="00E33C36"/>
    <w:rsid w:val="00F0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D178F6-BF6F-4144-BC5B-8888E67B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9" w:line="363" w:lineRule="auto"/>
      <w:ind w:left="283" w:right="56" w:firstLine="700"/>
      <w:jc w:val="both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lac.unfpa.org/es/publications/estado-de-la-poblaci%C3%B3n-mundial-2021-%E2%80%9Cmi-cuerpo-me-pertenece-reclamar-el-derecho-la" TargetMode="External"/><Relationship Id="rId13" Type="http://schemas.openxmlformats.org/officeDocument/2006/relationships/hyperlink" Target="https://lac.unfpa.org/es/publications/estado-de-la-poblaci%C3%B3n-mundial-2021-%E2%80%9Cmi-cuerpo-me-pertenece-reclamar-el-derecho-la" TargetMode="External"/><Relationship Id="rId18" Type="http://schemas.openxmlformats.org/officeDocument/2006/relationships/hyperlink" Target="https://lac.unfpa.org/es/publications/estado-de-la-poblaci%C3%B3n-mundial-2021-%E2%80%9Cmi-cuerpo-me-pertenece-reclamar-el-derecho-la" TargetMode="External"/><Relationship Id="rId26" Type="http://schemas.openxmlformats.org/officeDocument/2006/relationships/hyperlink" Target="https://lac.unfpa.org/es/publications/estado-de-la-poblaci%C3%B3n-mundial-2021-%E2%80%9Cmi-cuerpo-me-pertenece-reclamar-el-derecho-la" TargetMode="External"/><Relationship Id="rId3" Type="http://schemas.openxmlformats.org/officeDocument/2006/relationships/hyperlink" Target="https://lac.unfpa.org/es/publications/estado-de-la-poblaci%C3%B3n-mundial-2021-%E2%80%9Cmi-cuerpo-me-pertenece-reclamar-el-derecho-la" TargetMode="External"/><Relationship Id="rId21" Type="http://schemas.openxmlformats.org/officeDocument/2006/relationships/hyperlink" Target="https://lac.unfpa.org/es/publications/estado-de-la-poblaci%C3%B3n-mundial-2021-%E2%80%9Cmi-cuerpo-me-pertenece-reclamar-el-derecho-la" TargetMode="External"/><Relationship Id="rId7" Type="http://schemas.openxmlformats.org/officeDocument/2006/relationships/hyperlink" Target="https://lac.unfpa.org/es/publications/estado-de-la-poblaci%C3%B3n-mundial-2021-%E2%80%9Cmi-cuerpo-me-pertenece-reclamar-el-derecho-la" TargetMode="External"/><Relationship Id="rId12" Type="http://schemas.openxmlformats.org/officeDocument/2006/relationships/hyperlink" Target="https://lac.unfpa.org/es/publications/estado-de-la-poblaci%C3%B3n-mundial-2021-%E2%80%9Cmi-cuerpo-me-pertenece-reclamar-el-derecho-la" TargetMode="External"/><Relationship Id="rId17" Type="http://schemas.openxmlformats.org/officeDocument/2006/relationships/hyperlink" Target="https://lac.unfpa.org/es/publications/estado-de-la-poblaci%C3%B3n-mundial-2021-%E2%80%9Cmi-cuerpo-me-pertenece-reclamar-el-derecho-la" TargetMode="External"/><Relationship Id="rId25" Type="http://schemas.openxmlformats.org/officeDocument/2006/relationships/hyperlink" Target="https://lac.unfpa.org/es/publications/estado-de-la-poblaci%C3%B3n-mundial-2021-%E2%80%9Cmi-cuerpo-me-pertenece-reclamar-el-derecho-la" TargetMode="External"/><Relationship Id="rId2" Type="http://schemas.openxmlformats.org/officeDocument/2006/relationships/hyperlink" Target="https://lac.unfpa.org/es/publications/estado-de-la-poblaci%C3%B3n-mundial-2021-%E2%80%9Cmi-cuerpo-me-pertenece-reclamar-el-derecho-la" TargetMode="External"/><Relationship Id="rId16" Type="http://schemas.openxmlformats.org/officeDocument/2006/relationships/hyperlink" Target="https://lac.unfpa.org/es/publications/estado-de-la-poblaci%C3%B3n-mundial-2021-%E2%80%9Cmi-cuerpo-me-pertenece-reclamar-el-derecho-la" TargetMode="External"/><Relationship Id="rId20" Type="http://schemas.openxmlformats.org/officeDocument/2006/relationships/hyperlink" Target="https://lac.unfpa.org/es/publications/estado-de-la-poblaci%C3%B3n-mundial-2021-%E2%80%9Cmi-cuerpo-me-pertenece-reclamar-el-derecho-la" TargetMode="External"/><Relationship Id="rId1" Type="http://schemas.openxmlformats.org/officeDocument/2006/relationships/hyperlink" Target="https://lac.unfpa.org/es/publications/estado-de-la-poblaci%C3%B3n-mundial-2021-%E2%80%9Cmi-cuerpo-me-pertenece-reclamar-el-derecho-la" TargetMode="External"/><Relationship Id="rId6" Type="http://schemas.openxmlformats.org/officeDocument/2006/relationships/hyperlink" Target="https://lac.unfpa.org/es/publications/estado-de-la-poblaci%C3%B3n-mundial-2021-%E2%80%9Cmi-cuerpo-me-pertenece-reclamar-el-derecho-la" TargetMode="External"/><Relationship Id="rId11" Type="http://schemas.openxmlformats.org/officeDocument/2006/relationships/hyperlink" Target="https://lac.unfpa.org/es/publications/estado-de-la-poblaci%C3%B3n-mundial-2021-%E2%80%9Cmi-cuerpo-me-pertenece-reclamar-el-derecho-la" TargetMode="External"/><Relationship Id="rId24" Type="http://schemas.openxmlformats.org/officeDocument/2006/relationships/hyperlink" Target="https://lac.unfpa.org/es/publications/estado-de-la-poblaci%C3%B3n-mundial-2021-%E2%80%9Cmi-cuerpo-me-pertenece-reclamar-el-derecho-la" TargetMode="External"/><Relationship Id="rId5" Type="http://schemas.openxmlformats.org/officeDocument/2006/relationships/hyperlink" Target="https://lac.unfpa.org/es/publications/estado-de-la-poblaci%C3%B3n-mundial-2021-%E2%80%9Cmi-cuerpo-me-pertenece-reclamar-el-derecho-la" TargetMode="External"/><Relationship Id="rId15" Type="http://schemas.openxmlformats.org/officeDocument/2006/relationships/hyperlink" Target="https://lac.unfpa.org/es/publications/estado-de-la-poblaci%C3%B3n-mundial-2021-%E2%80%9Cmi-cuerpo-me-pertenece-reclamar-el-derecho-la" TargetMode="External"/><Relationship Id="rId23" Type="http://schemas.openxmlformats.org/officeDocument/2006/relationships/hyperlink" Target="https://lac.unfpa.org/es/publications/estado-de-la-poblaci%C3%B3n-mundial-2021-%E2%80%9Cmi-cuerpo-me-pertenece-reclamar-el-derecho-la" TargetMode="External"/><Relationship Id="rId28" Type="http://schemas.openxmlformats.org/officeDocument/2006/relationships/hyperlink" Target="https://lac.unfpa.org/es/publications/estado-de-la-poblaci%C3%B3n-mundial-2021-%E2%80%9Cmi-cuerpo-me-pertenece-reclamar-el-derecho-la" TargetMode="External"/><Relationship Id="rId10" Type="http://schemas.openxmlformats.org/officeDocument/2006/relationships/hyperlink" Target="https://lac.unfpa.org/es/publications/estado-de-la-poblaci%C3%B3n-mundial-2021-%E2%80%9Cmi-cuerpo-me-pertenece-reclamar-el-derecho-la" TargetMode="External"/><Relationship Id="rId19" Type="http://schemas.openxmlformats.org/officeDocument/2006/relationships/hyperlink" Target="https://lac.unfpa.org/es/publications/estado-de-la-poblaci%C3%B3n-mundial-2021-%E2%80%9Cmi-cuerpo-me-pertenece-reclamar-el-derecho-la" TargetMode="External"/><Relationship Id="rId4" Type="http://schemas.openxmlformats.org/officeDocument/2006/relationships/hyperlink" Target="https://lac.unfpa.org/es/publications/estado-de-la-poblaci%C3%B3n-mundial-2021-%E2%80%9Cmi-cuerpo-me-pertenece-reclamar-el-derecho-la" TargetMode="External"/><Relationship Id="rId9" Type="http://schemas.openxmlformats.org/officeDocument/2006/relationships/hyperlink" Target="https://lac.unfpa.org/es/publications/estado-de-la-poblaci%C3%B3n-mundial-2021-%E2%80%9Cmi-cuerpo-me-pertenece-reclamar-el-derecho-la" TargetMode="External"/><Relationship Id="rId14" Type="http://schemas.openxmlformats.org/officeDocument/2006/relationships/hyperlink" Target="https://lac.unfpa.org/es/publications/estado-de-la-poblaci%C3%B3n-mundial-2021-%E2%80%9Cmi-cuerpo-me-pertenece-reclamar-el-derecho-la" TargetMode="External"/><Relationship Id="rId22" Type="http://schemas.openxmlformats.org/officeDocument/2006/relationships/hyperlink" Target="https://lac.unfpa.org/es/publications/estado-de-la-poblaci%C3%B3n-mundial-2021-%E2%80%9Cmi-cuerpo-me-pertenece-reclamar-el-derecho-la" TargetMode="External"/><Relationship Id="rId27" Type="http://schemas.openxmlformats.org/officeDocument/2006/relationships/hyperlink" Target="https://lac.unfpa.org/es/publications/estado-de-la-poblaci%C3%B3n-mundial-2021-%E2%80%9Cmi-cuerpo-me-pertenece-reclamar-el-derecho-l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2414</Words>
  <Characters>13283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cp:lastModifiedBy>Mildred Manzanilla</cp:lastModifiedBy>
  <cp:revision>2</cp:revision>
  <dcterms:created xsi:type="dcterms:W3CDTF">2023-10-18T20:18:00Z</dcterms:created>
  <dcterms:modified xsi:type="dcterms:W3CDTF">2023-10-18T20:18:00Z</dcterms:modified>
</cp:coreProperties>
</file>